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w:t>
      </w:r>
    </w:p>
    <w:p>
      <w:pPr>
        <w:pStyle w:val="BodyText"/>
      </w:pPr>
      <w:r>
        <w:t xml:space="preserve">We found that the most favorable growth conditions for both PE-rich and PC-rich strains of</w:t>
      </w:r>
      <w:r>
        <w:t xml:space="preserve"> </w:t>
      </w:r>
      <w:r>
        <w:rPr>
          <w:iCs/>
          <w:i/>
        </w:rPr>
        <w:t xml:space="preserve">Synechococcus</w:t>
      </w:r>
      <w:r>
        <w:t xml:space="preserve"> </w:t>
      </w:r>
      <w:r>
        <w:t xml:space="preserve">sp.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(µmol photons m</w:t>
      </w:r>
      <w:r>
        <w:rPr>
          <w:vertAlign w:val="superscript"/>
        </w:rPr>
        <w:t xml:space="preserve">−2</w:t>
      </w:r>
      <w:r>
        <w:t xml:space="preserve">d</w:t>
      </w:r>
      <w:r>
        <w:rPr>
          <w:vertAlign w:val="superscript"/>
        </w:rPr>
        <w:t xml:space="preserve">−1</w:t>
      </w:r>
      <w:r>
        <w:t xml:space="preserve">) was equivalent to conditions where the light intensity was higher and the photoperiod was shorter. We also discovered that under optimal conditions (24 h of photoperiod and a peak PAR of 180 µmol photons m</w:t>
      </w:r>
      <w:r>
        <w:rPr>
          <w:vertAlign w:val="superscript"/>
        </w:rPr>
        <w:t xml:space="preserve">−2</w:t>
      </w:r>
      <w:r>
        <w:t xml:space="preserve">s</w:t>
      </w:r>
      <w:r>
        <w:rPr>
          <w:vertAlign w:val="superscript"/>
        </w:rPr>
        <w:t xml:space="preserve">−1</w:t>
      </w:r>
      <w:r>
        <w:t xml:space="preserve">) one of PE-rich</w:t>
      </w:r>
      <w:r>
        <w:t xml:space="preserve"> </w:t>
      </w:r>
      <w:r>
        <w:rPr>
          <w:iCs/>
          <w:i/>
        </w:rPr>
        <w:t xml:space="preserve">Synechococcus</w:t>
      </w:r>
      <w:r>
        <w:t xml:space="preserve"> </w:t>
      </w:r>
      <w:r>
        <w:t xml:space="preserve">sp. originating from the Baltic Sea,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with no statistically detectable influence of photoperiod nor of peak PAR.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0" w:name="discussion"/>
    <w:p>
      <w:pPr>
        <w:pStyle w:val="Heading1"/>
      </w:pPr>
      <w:r>
        <w:t xml:space="preserve">Discussion</w:t>
      </w:r>
    </w:p>
    <w:bookmarkStart w:id="77" w:name="X3578cf777a1cb471df0150aa647dddd0669aa6c"/>
    <w:p>
      <w:pPr>
        <w:pStyle w:val="Heading2"/>
      </w:pPr>
      <w:r>
        <w:t xml:space="preserve">Photic regime significance for picocyanobacteria growth and global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To the best of our knowledge, in only one study the effect of photoperiod on the growth rate of PC-rich</w:t>
      </w:r>
      <w:r>
        <w:t xml:space="preserve"> </w:t>
      </w:r>
      <w:r>
        <w:rPr>
          <w:iCs/>
          <w:i/>
        </w:rPr>
        <w:t xml:space="preserve">Synechococcus</w:t>
      </w:r>
      <w:r>
        <w:t xml:space="preserve"> </w:t>
      </w:r>
      <w:r>
        <w:t xml:space="preserve">PCC 6715 was examined in detail</w:t>
      </w:r>
      <w:r>
        <w:t xml:space="preserve"> </w:t>
      </w:r>
      <w:r>
        <w:t xml:space="preserve">(Klepacz-Smółka et al. 2020)</w:t>
      </w:r>
      <w:r>
        <w:t xml:space="preserve">. In these studies, PC-rich picocyanobacteria also showed faster specific growth rate in 24 h photoperiod (µ = 2.05 d</w:t>
      </w:r>
      <w:r>
        <w:rPr>
          <w:vertAlign w:val="superscript"/>
        </w:rPr>
        <w:t xml:space="preserve">−1</w:t>
      </w:r>
      <w:r>
        <w:t xml:space="preserve">) than 16 h photoperiod (µ = 1.92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The ability of</w:t>
      </w:r>
      <w:r>
        <w:t xml:space="preserve"> </w:t>
      </w:r>
      <w:r>
        <w:rPr>
          <w:iCs/>
          <w:i/>
        </w:rPr>
        <w:t xml:space="preserve">Synechococcus</w:t>
      </w:r>
      <w:r>
        <w:t xml:space="preserve"> </w:t>
      </w:r>
      <w:r>
        <w:t xml:space="preserve">sp. to create blooms has recently become a fact</w:t>
      </w:r>
      <w:r>
        <w:t xml:space="preserve"> </w:t>
      </w:r>
      <w:r>
        <w:t xml:space="preserve">(Śliwińska-Wilczewska et al. 2018b)</w:t>
      </w:r>
      <w:r>
        <w:t xml:space="preserve">.</w:t>
      </w:r>
      <w:r>
        <w:t xml:space="preserve"> </w:t>
      </w:r>
      <w:r>
        <w:rPr>
          <w:iCs/>
          <w:i/>
        </w:rPr>
        <w:t xml:space="preserve">Synechococcus</w:t>
      </w:r>
      <w:r>
        <w:t xml:space="preserve"> </w:t>
      </w:r>
      <w:r>
        <w:t xml:space="preserve">sp. blooms are recorded in various geographical regions, characterized by different photic regimes. It seems that in these environments,</w:t>
      </w:r>
      <w:r>
        <w:t xml:space="preserve"> </w:t>
      </w:r>
      <w:r>
        <w:rPr>
          <w:iCs/>
          <w:i/>
        </w:rPr>
        <w:t xml:space="preserve">Synechococcus</w:t>
      </w:r>
      <w:r>
        <w:t xml:space="preserve"> </w:t>
      </w:r>
      <w:r>
        <w:t xml:space="preserve">can persist under extreme light conditions and adapt to fluctuating photoperiods. This work indicates that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78" w:name="Xd2b186433f2ecd08a272f12e7a5fa39c5ec75cb"/>
    <w:p>
      <w:pPr>
        <w:pStyle w:val="Heading2"/>
      </w:pPr>
      <w:r>
        <w:t xml:space="preserve">Photic regime and growth phase influence picocyanobacteria light capture efficacy</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PE-rich strains in the exponential phase of growth demonstrated high ability to modulate light capacity whereas PC-rich strains almost fixed PUR/PAR ratio (Fig. 6). Thus, PE-rich strains of</w:t>
      </w:r>
      <w:r>
        <w:t xml:space="preserve"> </w:t>
      </w:r>
      <w:r>
        <w:rPr>
          <w:iCs/>
          <w:i/>
        </w:rPr>
        <w:t xml:space="preserve">Synechococcus</w:t>
      </w:r>
      <w:r>
        <w:t xml:space="preserve"> </w:t>
      </w:r>
      <w:r>
        <w:t xml:space="preserve">sp. better exploit available radiation during exponential growth under lower PAR. 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r>
        <w:t xml:space="preserve"> </w:t>
      </w:r>
      <w:r>
        <w:t xml:space="preserve">(XXXMore about this statementXXX). Surprisingly, during pre-stationary phase of growth response of PUR/PAR to increasing cumulative diel PAR remains constant at approximately y</w:t>
      </w:r>
      <w:r>
        <w:rPr>
          <w:vertAlign w:val="subscript"/>
        </w:rPr>
        <w:t xml:space="preserve">f</w:t>
      </w:r>
      <w:r>
        <w:t xml:space="preserve"> </w:t>
      </w:r>
      <w:r>
        <w:t xml:space="preserve">= 0.4. This means that even aging cells undergoing physiological regulations are able to maintain the total pigment content at a level that allows them to evenly absorb available energy, regardless of the prevailing phototic regime</w:t>
      </w:r>
      <w:r>
        <w:t xml:space="preserve"> </w:t>
      </w:r>
      <w:r>
        <w:t xml:space="preserve">(Riethman et al. 1988; Ho et al. 2017; Han et al. 2017; Mou et al. 2018)</w:t>
      </w:r>
      <w:r>
        <w:t xml:space="preserve">. [XXX more text about this maybe?XXX]</w:t>
      </w:r>
    </w:p>
    <w:bookmarkEnd w:id="78"/>
    <w:bookmarkStart w:id="79"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(σPSII′) comprises the probability of light capture by PSII and the quantum yield for subsequent photochemistry. In this work, σPSII′ (nm2 quanta−1) was measured under diel peak PAR growth light under Ex590nm (orange) excitation for two PC-rich and two PE-rich cultures of Synechococcus sp. originating from the Baltic Sea in relation to cumulative diel PAR, across different combinations of photoperiod and peak PAR (Fig. 7). We find, for the first time, that PC-rich and PE-rich strains of Synechococcus show consistent patterns of effective absorption cross section for PSII photochemistry, versus increasing cumulative diel PAR doses, with no statistically detectable influence of photoperiod nor of peak PAR in our determinations. Moreover, we demonstrated that the σPSII′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w:t>
      </w:r>
      <w:r>
        <w:t xml:space="preserve">. (XXXbetter CITATION). We showed that the exponential decay model parameters differ significantly among phases of growth. During the exponential phase of growth, The PE-rich strains show a much higher σPSII′ under low cumulative diel photon dose, and remain higher than the PC-rich strains even as cumulative diel photon dose increases. During pre-stationary phase this response dampens but persists. (XXXMore about sigmaXXX).</w:t>
      </w:r>
    </w:p>
    <w:p>
      <w:pPr>
        <w:pStyle w:val="BodyText"/>
      </w:pPr>
      <w:r>
        <w:t xml:space="preserve">The linear fits also vary significantly among strains. Our results can indicate that the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For σPSII′ excited through phycobilisome absorbance at 590 nm, strains show consistent positive correlation with phycobilin:chlorophyll ratio. Strains in exponential growth show significant scatter around this positive relation, likely related to regulatory control of σPSII′, beyond pigment composition. Under pre-stationary phase σPSII′ vs. Phycobiliprotein to Chl a ratio was better aligned, suggesting an increase in reliance upon compositional regulation to control light delivery to PSII, as opposed to shorter-term regulation.</w:t>
      </w:r>
    </w:p>
    <w:p>
      <w:pPr>
        <w:pStyle w:val="BodyText"/>
      </w:pPr>
      <w:r>
        <w:t xml:space="preserve">Phycobiliprotein to Chl a ratio (µg/µg) decayed exponentially with increasing cumulative diel PAR, pooling data across different combinations of photoperiod and peak PAR (Fig. S7). Responses in relation to photoperiod and irradiance can vary among the species and for pigments in the same species of algae</w:t>
      </w:r>
      <w:r>
        <w:t xml:space="preserve"> </w:t>
      </w:r>
      <w:r>
        <w:t xml:space="preserve">(Zucchi and Necchi Jr 2001)</w:t>
      </w:r>
      <w:r>
        <w:t xml:space="preserve">.</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 a were noted. Pigment dynamics are profoundly influenced by the prevailing light regimes. Primary photosynthetic pigments in Synechococcus sp. comprise chlorophyll a, responsible for light energy capture. Under low-light conditions, picocyanobacteria tend to increase their chlorophyll a content to enhance light absorption and maximize energy capture for photosynthesis. Conversely, high-light conditions often lead to a decrease in chlorophyll a content, serving as a photoprotective mechanism against excessive irradiation. In addition to chlorophyll a,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79"/>
    <w:bookmarkEnd w:id="80"/>
    <w:bookmarkStart w:id="81" w:name="conclusion"/>
    <w:p>
      <w:pPr>
        <w:pStyle w:val="Heading1"/>
      </w:pPr>
      <w:r>
        <w:t xml:space="preserve">Conclusion</w:t>
      </w:r>
    </w:p>
    <w:p>
      <w:pPr>
        <w:pStyle w:val="FirstParagraph"/>
      </w:pPr>
      <w:r>
        <w:t xml:space="preserve">Understanding the influence of photic regimes on the dynamics of picocyanobacteria is imperative for predicting their spatial distribution across various geographic regions and their responses to observed environmental changes. 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Our results showed the PE-rich strains are stronger light-harvesting competitors, consistent with their typical deeper distribution in the water column, while the PC-rich strains may have lower N-quotients for their light capture system XXXXXYOU DO NOT PRESENT ANY DATA NOR ANALYSES TO SUPPORT THIS POINT; SUPPORT OR DROP IT FROM THE CONCLUSIONS.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bookmarkEnd w:id="81"/>
    <w:bookmarkStart w:id="82"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2"/>
    <w:bookmarkStart w:id="83"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3"/>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4">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5">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6">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7">
        <w:r>
          <w:rPr>
            <w:rStyle w:val="Hyperlink"/>
          </w:rPr>
          <w:t xml:space="preserve">https://docs.google.com/spreadsheets/d/1cfyxO1bFSeEMlMnx1vAyuskk3Un_bqkE9-uUSc-jwhE/edit#gid=0</w:t>
        </w:r>
      </w:hyperlink>
    </w:p>
    <w:bookmarkEnd w:id="88"/>
    <w:bookmarkStart w:id="247" w:name="references"/>
    <w:p>
      <w:pPr>
        <w:pStyle w:val="Heading1"/>
      </w:pPr>
      <w:r>
        <w:t xml:space="preserve">References</w:t>
      </w:r>
    </w:p>
    <w:bookmarkStart w:id="246"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2"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1">
        <w:r>
          <w:rPr>
            <w:rStyle w:val="Hyperlink"/>
          </w:rPr>
          <w:t xml:space="preserve">10.1016/j.marpolbul.2021.112059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3" w:name="ref-connorInvestigatingUseFast2018"/>
    <w:p>
      <w:pPr>
        <w:pStyle w:val="Bibliography"/>
      </w:pPr>
      <w:r>
        <w:t xml:space="preserve">Connor, D. 2018. Investigating the use of fast repetition rate fluorometry in understanding algal physiology in optically complex oceans.</w:t>
      </w:r>
    </w:p>
    <w:bookmarkEnd w:id="113"/>
    <w:bookmarkStart w:id="115"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4">
        <w:r>
          <w:rPr>
            <w:rStyle w:val="Hyperlink"/>
          </w:rPr>
          <w:t xml:space="preserve">10.1186/gb-2008-9-5-r90</w:t>
        </w:r>
      </w:hyperlink>
    </w:p>
    <w:bookmarkEnd w:id="115"/>
    <w:bookmarkStart w:id="116"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6"/>
    <w:bookmarkStart w:id="118"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7">
        <w:r>
          <w:rPr>
            <w:rStyle w:val="Hyperlink"/>
          </w:rPr>
          <w:t xml:space="preserve">10.1093/plankt/6.1.67</w:t>
        </w:r>
      </w:hyperlink>
    </w:p>
    <w:bookmarkEnd w:id="118"/>
    <w:bookmarkStart w:id="119"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6">
        <w:r>
          <w:rPr>
            <w:rStyle w:val="Hyperlink"/>
          </w:rPr>
          <w:t xml:space="preserve">10.1016/j.marenvres.2014.07.012</w:t>
        </w:r>
      </w:hyperlink>
    </w:p>
    <w:bookmarkEnd w:id="127"/>
    <w:bookmarkStart w:id="129" w:name="Xb7bf1f0f86588682b7b5eb14172209be3913c80"/>
    <w:p>
      <w:pPr>
        <w:pStyle w:val="Bibliography"/>
      </w:pPr>
      <w:r>
        <w:t xml:space="preserve">Giannini, M. F. C. 2016.</w:t>
      </w:r>
      <w:r>
        <w:t xml:space="preserve"> </w:t>
      </w:r>
      <w:hyperlink r:id="rId128">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9"/>
    <w:bookmarkStart w:id="131"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0">
        <w:r>
          <w:rPr>
            <w:rStyle w:val="Hyperlink"/>
          </w:rPr>
          <w:t xml:space="preserve">10.3354/meps052099</w:t>
        </w:r>
      </w:hyperlink>
    </w:p>
    <w:bookmarkEnd w:id="131"/>
    <w:bookmarkStart w:id="13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2">
        <w:r>
          <w:rPr>
            <w:rStyle w:val="Hyperlink"/>
          </w:rPr>
          <w:t xml:space="preserve">10.1073/pnas.1717069115</w:t>
        </w:r>
      </w:hyperlink>
    </w:p>
    <w:bookmarkEnd w:id="133"/>
    <w:bookmarkStart w:id="135" w:name="Xd7d6b0bcb60aabcb149933a8690177800745aff"/>
    <w:p>
      <w:pPr>
        <w:pStyle w:val="Bibliography"/>
      </w:pPr>
      <w:r>
        <w:t xml:space="preserve">Guillard, R. R. L. 1975.</w:t>
      </w:r>
      <w:r>
        <w:t xml:space="preserve"> </w:t>
      </w:r>
      <w:hyperlink r:id="rId13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5"/>
    <w:bookmarkStart w:id="137"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6">
        <w:r>
          <w:rPr>
            <w:rStyle w:val="Hyperlink"/>
          </w:rPr>
          <w:t xml:space="preserve">10.1016/j.algal.2017.04.009</w:t>
        </w:r>
      </w:hyperlink>
    </w:p>
    <w:bookmarkEnd w:id="137"/>
    <w:bookmarkStart w:id="13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8"/>
    <w:bookmarkStart w:id="13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9"/>
    <w:bookmarkStart w:id="14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0">
        <w:r>
          <w:rPr>
            <w:rStyle w:val="Hyperlink"/>
          </w:rPr>
          <w:t xml:space="preserve">10.1038/ismej.2008.118</w:t>
        </w:r>
      </w:hyperlink>
    </w:p>
    <w:bookmarkEnd w:id="141"/>
    <w:bookmarkStart w:id="14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2">
        <w:r>
          <w:rPr>
            <w:rStyle w:val="Hyperlink"/>
          </w:rPr>
          <w:t xml:space="preserve">10.5194/bg-8-311-2011</w:t>
        </w:r>
      </w:hyperlink>
    </w:p>
    <w:bookmarkEnd w:id="143"/>
    <w:bookmarkStart w:id="145"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4">
        <w:r>
          <w:rPr>
            <w:rStyle w:val="Hyperlink"/>
          </w:rPr>
          <w:t xml:space="preserve">10.1016/j.pbi.2017.03.006</w:t>
        </w:r>
      </w:hyperlink>
    </w:p>
    <w:bookmarkEnd w:id="145"/>
    <w:bookmarkStart w:id="14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6">
        <w:r>
          <w:rPr>
            <w:rStyle w:val="Hyperlink"/>
          </w:rPr>
          <w:t xml:space="preserve">10.1038/s41559-020-01330-x</w:t>
        </w:r>
      </w:hyperlink>
    </w:p>
    <w:bookmarkEnd w:id="147"/>
    <w:bookmarkStart w:id="14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8">
        <w:r>
          <w:rPr>
            <w:rStyle w:val="Hyperlink"/>
          </w:rPr>
          <w:t xml:space="preserve">10.1086/338511</w:t>
        </w:r>
      </w:hyperlink>
    </w:p>
    <w:bookmarkEnd w:id="149"/>
    <w:bookmarkStart w:id="15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0">
        <w:r>
          <w:rPr>
            <w:rStyle w:val="Hyperlink"/>
          </w:rPr>
          <w:t xml:space="preserve">10.1038/nclimate3147</w:t>
        </w:r>
      </w:hyperlink>
    </w:p>
    <w:bookmarkEnd w:id="151"/>
    <w:bookmarkStart w:id="15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2">
        <w:r>
          <w:rPr>
            <w:rStyle w:val="Hyperlink"/>
          </w:rPr>
          <w:t xml:space="preserve">10.1016/j.cep.2008.04.007</w:t>
        </w:r>
      </w:hyperlink>
    </w:p>
    <w:bookmarkEnd w:id="153"/>
    <w:bookmarkStart w:id="15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4">
        <w:r>
          <w:rPr>
            <w:rStyle w:val="Hyperlink"/>
          </w:rPr>
          <w:t xml:space="preserve">10.1016/j.jphotobiol.2005.10.002</w:t>
        </w:r>
      </w:hyperlink>
    </w:p>
    <w:bookmarkEnd w:id="155"/>
    <w:bookmarkStart w:id="156"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6"/>
    <w:bookmarkStart w:id="15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7"/>
    <w:bookmarkStart w:id="159"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8">
        <w:r>
          <w:rPr>
            <w:rStyle w:val="Hyperlink"/>
          </w:rPr>
          <w:t xml:space="preserve">10.1016/j.biortech.2020.123700</w:t>
        </w:r>
      </w:hyperlink>
    </w:p>
    <w:bookmarkEnd w:id="159"/>
    <w:bookmarkStart w:id="16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0">
        <w:r>
          <w:rPr>
            <w:rStyle w:val="Hyperlink"/>
          </w:rPr>
          <w:t xml:space="preserve">10.1016/S0005-2728(98)00135-2</w:t>
        </w:r>
      </w:hyperlink>
    </w:p>
    <w:bookmarkEnd w:id="161"/>
    <w:bookmarkStart w:id="163"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2">
        <w:r>
          <w:rPr>
            <w:rStyle w:val="Hyperlink"/>
          </w:rPr>
          <w:t xml:space="preserve">10.1038/s41598-021-91106-5</w:t>
        </w:r>
      </w:hyperlink>
    </w:p>
    <w:bookmarkEnd w:id="163"/>
    <w:bookmarkStart w:id="165" w:name="X0484b3dfebfaa14160c541e1fe2290095bae149"/>
    <w:p>
      <w:pPr>
        <w:pStyle w:val="Bibliography"/>
      </w:pPr>
      <w:r>
        <w:t xml:space="preserve">LaRoche, J., and B. M. Robicheau. 2022.</w:t>
      </w:r>
      <w:r>
        <w:t xml:space="preserve"> </w:t>
      </w:r>
      <w:hyperlink r:id="rId16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5"/>
    <w:bookmarkStart w:id="166"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6"/>
    <w:bookmarkStart w:id="168"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7">
        <w:r>
          <w:rPr>
            <w:rStyle w:val="Hyperlink"/>
          </w:rPr>
          <w:t xml:space="preserve">10.1093/plankt/fbv008</w:t>
        </w:r>
      </w:hyperlink>
    </w:p>
    <w:bookmarkEnd w:id="168"/>
    <w:bookmarkStart w:id="170" w:name="X1fa63fd480d0916fa60113cb089a7102c347762"/>
    <w:p>
      <w:pPr>
        <w:pStyle w:val="Bibliography"/>
      </w:pPr>
      <w:r>
        <w:t xml:space="preserve">Li, W. K. W. 1995.</w:t>
      </w:r>
      <w:r>
        <w:t xml:space="preserve"> </w:t>
      </w:r>
      <w:hyperlink r:id="rId169">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0"/>
    <w:bookmarkStart w:id="171"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4">
        <w:r>
          <w:rPr>
            <w:rStyle w:val="Hyperlink"/>
          </w:rPr>
          <w:t xml:space="preserve">10.1111/1462-2920.13744</w:t>
        </w:r>
      </w:hyperlink>
    </w:p>
    <w:bookmarkEnd w:id="175"/>
    <w:bookmarkStart w:id="17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6"/>
    <w:bookmarkStart w:id="17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7">
        <w:r>
          <w:rPr>
            <w:rStyle w:val="Hyperlink"/>
          </w:rPr>
          <w:t xml:space="preserve">10.1093/jxb/erx137</w:t>
        </w:r>
      </w:hyperlink>
    </w:p>
    <w:bookmarkEnd w:id="178"/>
    <w:bookmarkStart w:id="18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79">
        <w:r>
          <w:rPr>
            <w:rStyle w:val="Hyperlink"/>
          </w:rPr>
          <w:t xml:space="preserve">10.1016/0146-6291(78)90623-9</w:t>
        </w:r>
      </w:hyperlink>
    </w:p>
    <w:bookmarkEnd w:id="180"/>
    <w:bookmarkStart w:id="18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1">
        <w:r>
          <w:rPr>
            <w:rStyle w:val="Hyperlink"/>
          </w:rPr>
          <w:t xml:space="preserve">10.1029/JC093iC09p10749</w:t>
        </w:r>
      </w:hyperlink>
    </w:p>
    <w:bookmarkEnd w:id="182"/>
    <w:bookmarkStart w:id="184"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3">
        <w:r>
          <w:rPr>
            <w:rStyle w:val="Hyperlink"/>
          </w:rPr>
          <w:t xml:space="preserve">10.1007/s11430-017-9206-5</w:t>
        </w:r>
      </w:hyperlink>
    </w:p>
    <w:bookmarkEnd w:id="184"/>
    <w:bookmarkStart w:id="186" w:name="ref-ortmannLysogenyLyticViral2002"/>
    <w:p>
      <w:pPr>
        <w:pStyle w:val="Bibliography"/>
      </w:pPr>
      <w:r>
        <w:t xml:space="preserve">Ortmann, A. C., J. E. Lawrence, and C. A. Suttle. 2002.</w:t>
      </w:r>
      <w:r>
        <w:t xml:space="preserve"> </w:t>
      </w:r>
      <w:hyperlink r:id="rId185">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6"/>
    <w:bookmarkStart w:id="18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7">
        <w:r>
          <w:rPr>
            <w:rStyle w:val="Hyperlink"/>
          </w:rPr>
          <w:t xml:space="preserve">10.1023/A:1005936823310</w:t>
        </w:r>
      </w:hyperlink>
    </w:p>
    <w:bookmarkEnd w:id="188"/>
    <w:bookmarkStart w:id="19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9">
        <w:r>
          <w:rPr>
            <w:rStyle w:val="Hyperlink"/>
          </w:rPr>
          <w:t xml:space="preserve">10.4319/lom.2012.10.142</w:t>
        </w:r>
      </w:hyperlink>
    </w:p>
    <w:bookmarkEnd w:id="190"/>
    <w:bookmarkStart w:id="191"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1"/>
    <w:bookmarkStart w:id="193"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2">
        <w:r>
          <w:rPr>
            <w:rStyle w:val="Hyperlink"/>
          </w:rPr>
          <w:t xml:space="preserve">10.4319/lo.1991.36.7.1457</w:t>
        </w:r>
      </w:hyperlink>
    </w:p>
    <w:bookmarkEnd w:id="193"/>
    <w:bookmarkStart w:id="19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4"/>
    <w:bookmarkStart w:id="196"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5">
        <w:r>
          <w:rPr>
            <w:rStyle w:val="Hyperlink"/>
          </w:rPr>
          <w:t xml:space="preserve">10.5194/egusphere-2024-847</w:t>
        </w:r>
      </w:hyperlink>
    </w:p>
    <w:bookmarkEnd w:id="196"/>
    <w:bookmarkStart w:id="19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7"/>
    <w:bookmarkStart w:id="199" w:name="X7ac1c1f90fb15f6f8263b8f596c9dd14cc41ec6"/>
    <w:p>
      <w:pPr>
        <w:pStyle w:val="Bibliography"/>
      </w:pPr>
      <w:r>
        <w:t xml:space="preserve">Riethman, H., G. Bullerjahn, K. J. Reddy, and L. A. Sherman. 1988.</w:t>
      </w:r>
      <w:r>
        <w:t xml:space="preserve"> </w:t>
      </w:r>
      <w:hyperlink r:id="rId198">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199"/>
    <w:bookmarkStart w:id="200" w:name="ref-ryanXtsEXtensibleTime2024"/>
    <w:p>
      <w:pPr>
        <w:pStyle w:val="Bibliography"/>
      </w:pPr>
      <w:r>
        <w:t xml:space="preserve">Ryan, J. A., J. M. Ulrich, R. Bennett, and C. Joy. 2024. Xts:</w:t>
      </w:r>
      <w:r>
        <w:t xml:space="preserve"> </w:t>
      </w:r>
      <w:r>
        <w:t xml:space="preserve">eXtensible Time Series</w:t>
      </w:r>
      <w:r>
        <w:t xml:space="preserve">.</w:t>
      </w:r>
    </w:p>
    <w:bookmarkEnd w:id="200"/>
    <w:bookmarkStart w:id="202"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1">
        <w:r>
          <w:rPr>
            <w:rStyle w:val="Hyperlink"/>
          </w:rPr>
          <w:t xml:space="preserve">10.1104/pp.119.2.785</w:t>
        </w:r>
      </w:hyperlink>
    </w:p>
    <w:bookmarkEnd w:id="202"/>
    <w:bookmarkStart w:id="204"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3">
        <w:r>
          <w:rPr>
            <w:rStyle w:val="Hyperlink"/>
          </w:rPr>
          <w:t xml:space="preserve">10.1038/sdata.2017.98</w:t>
        </w:r>
      </w:hyperlink>
    </w:p>
    <w:bookmarkEnd w:id="204"/>
    <w:bookmarkStart w:id="205" w:name="ref-serwayModernPhysics2004"/>
    <w:p>
      <w:pPr>
        <w:pStyle w:val="Bibliography"/>
      </w:pPr>
      <w:r>
        <w:t xml:space="preserve">Serway, R. A., C. J. Moses, and C. A. Moyer. 2004. Modern</w:t>
      </w:r>
      <w:r>
        <w:t xml:space="preserve"> </w:t>
      </w:r>
      <w:r>
        <w:t xml:space="preserve">Physics</w:t>
      </w:r>
      <w:r>
        <w:t xml:space="preserve">, Cengage Learning.</w:t>
      </w:r>
    </w:p>
    <w:bookmarkEnd w:id="205"/>
    <w:bookmarkStart w:id="20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6">
        <w:r>
          <w:rPr>
            <w:rStyle w:val="Hyperlink"/>
          </w:rPr>
          <w:t xml:space="preserve">10.1371/journal.pone.0001341</w:t>
        </w:r>
      </w:hyperlink>
    </w:p>
    <w:bookmarkEnd w:id="207"/>
    <w:bookmarkStart w:id="20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8">
        <w:r>
          <w:rPr>
            <w:rStyle w:val="Hyperlink"/>
          </w:rPr>
          <w:t xml:space="preserve">10.1073/pnas.2111300118</w:t>
        </w:r>
      </w:hyperlink>
    </w:p>
    <w:bookmarkEnd w:id="209"/>
    <w:bookmarkStart w:id="21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0">
        <w:r>
          <w:rPr>
            <w:rStyle w:val="Hyperlink"/>
          </w:rPr>
          <w:t xml:space="preserve">10.5194/bg-15-6257-2018</w:t>
        </w:r>
      </w:hyperlink>
    </w:p>
    <w:bookmarkEnd w:id="211"/>
    <w:bookmarkStart w:id="21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2">
        <w:r>
          <w:rPr>
            <w:rStyle w:val="Hyperlink"/>
          </w:rPr>
          <w:t xml:space="preserve">10.3390/cells9092030</w:t>
        </w:r>
      </w:hyperlink>
    </w:p>
    <w:bookmarkEnd w:id="213"/>
    <w:bookmarkStart w:id="21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4">
        <w:r>
          <w:rPr>
            <w:rStyle w:val="Hyperlink"/>
          </w:rPr>
          <w:t xml:space="preserve">10.3390/toxins10010048</w:t>
        </w:r>
      </w:hyperlink>
    </w:p>
    <w:bookmarkEnd w:id="215"/>
    <w:bookmarkStart w:id="21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6">
        <w:r>
          <w:rPr>
            <w:rStyle w:val="Hyperlink"/>
          </w:rPr>
          <w:t xml:space="preserve">10.1134/S0026261715020150</w:t>
        </w:r>
      </w:hyperlink>
    </w:p>
    <w:bookmarkEnd w:id="217"/>
    <w:bookmarkStart w:id="21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8">
        <w:r>
          <w:rPr>
            <w:rStyle w:val="Hyperlink"/>
          </w:rPr>
          <w:t xml:space="preserve">DOI: http://dx.doi.org/10.25607/OBP-1791</w:t>
        </w:r>
      </w:hyperlink>
    </w:p>
    <w:bookmarkEnd w:id="219"/>
    <w:bookmarkStart w:id="22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0"/>
    <w:bookmarkStart w:id="222"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1">
        <w:r>
          <w:rPr>
            <w:rStyle w:val="Hyperlink"/>
          </w:rPr>
          <w:t xml:space="preserve">10.1111/oik.08839</w:t>
        </w:r>
      </w:hyperlink>
    </w:p>
    <w:bookmarkEnd w:id="222"/>
    <w:bookmarkStart w:id="224"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3">
        <w:r>
          <w:rPr>
            <w:rStyle w:val="Hyperlink"/>
          </w:rPr>
          <w:t xml:space="preserve">10.1111/j.1365-2427.2008.02119.x</w:t>
        </w:r>
      </w:hyperlink>
    </w:p>
    <w:bookmarkEnd w:id="224"/>
    <w:bookmarkStart w:id="226" w:name="ref-tortellUserGuideApplication2021"/>
    <w:p>
      <w:pPr>
        <w:pStyle w:val="Bibliography"/>
      </w:pPr>
      <w:r>
        <w:t xml:space="preserve">Tortell, P., D. J. Suggett, and S. W. Group156. 2021.</w:t>
      </w:r>
      <w:r>
        <w:t xml:space="preserve"> </w:t>
      </w:r>
      <w:hyperlink r:id="rId225">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6"/>
    <w:bookmarkStart w:id="228"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7">
        <w:r>
          <w:rPr>
            <w:rStyle w:val="Hyperlink"/>
          </w:rPr>
          <w:t xml:space="preserve">10.1002/biot.201700764</w:t>
        </w:r>
      </w:hyperlink>
    </w:p>
    <w:bookmarkEnd w:id="228"/>
    <w:bookmarkStart w:id="22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9"/>
    <w:bookmarkStart w:id="231"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0">
        <w:r>
          <w:rPr>
            <w:rStyle w:val="Hyperlink"/>
          </w:rPr>
          <w:t xml:space="preserve">10.1029/1999JC000308</w:t>
        </w:r>
      </w:hyperlink>
    </w:p>
    <w:bookmarkEnd w:id="231"/>
    <w:bookmarkStart w:id="233" w:name="ref-wickhamDataAnalysis2016"/>
    <w:p>
      <w:pPr>
        <w:pStyle w:val="Bibliography"/>
      </w:pPr>
      <w:r>
        <w:t xml:space="preserve">Wickham, H. 2016.</w:t>
      </w:r>
      <w:r>
        <w:t xml:space="preserve"> </w:t>
      </w:r>
      <w:hyperlink r:id="rId23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3"/>
    <w:bookmarkStart w:id="23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4">
        <w:r>
          <w:rPr>
            <w:rStyle w:val="Hyperlink"/>
          </w:rPr>
          <w:t xml:space="preserve">10.1002/cyto.a.24508</w:t>
        </w:r>
      </w:hyperlink>
    </w:p>
    <w:bookmarkEnd w:id="235"/>
    <w:bookmarkStart w:id="23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6">
        <w:r>
          <w:rPr>
            <w:rStyle w:val="Hyperlink"/>
          </w:rPr>
          <w:t xml:space="preserve">10.1016/j.rse.2020.111704</w:t>
        </w:r>
      </w:hyperlink>
    </w:p>
    <w:bookmarkEnd w:id="237"/>
    <w:bookmarkStart w:id="239"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38">
        <w:r>
          <w:rPr>
            <w:rStyle w:val="Hyperlink"/>
          </w:rPr>
          <w:t xml:space="preserve">10.1016/j.bbabio.2017.03.003</w:t>
        </w:r>
      </w:hyperlink>
    </w:p>
    <w:bookmarkEnd w:id="239"/>
    <w:bookmarkStart w:id="241"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0">
        <w:r>
          <w:rPr>
            <w:rStyle w:val="Hyperlink"/>
          </w:rPr>
          <w:t xml:space="preserve">10.3389/fmars.2018.00281</w:t>
        </w:r>
      </w:hyperlink>
    </w:p>
    <w:bookmarkEnd w:id="241"/>
    <w:bookmarkStart w:id="243"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2">
        <w:r>
          <w:rPr>
            <w:rStyle w:val="Hyperlink"/>
          </w:rPr>
          <w:t xml:space="preserve">10.1002/elsc.201300165</w:t>
        </w:r>
      </w:hyperlink>
    </w:p>
    <w:bookmarkEnd w:id="243"/>
    <w:bookmarkStart w:id="245"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44">
        <w:r>
          <w:rPr>
            <w:rStyle w:val="Hyperlink"/>
          </w:rPr>
          <w:t xml:space="preserve">10.1046/j.1440-1835.2001.00230.x</w:t>
        </w:r>
      </w:hyperlink>
    </w:p>
    <w:bookmarkEnd w:id="245"/>
    <w:bookmarkEnd w:id="246"/>
    <w:bookmarkEnd w:id="247"/>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21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242"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38"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4"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1"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6"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0"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1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242"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38"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4"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1"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6"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0"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Naaman Omar1, and Douglas A. Campbell1,✉</dc:creator>
  <cp:keywords/>
  <dcterms:created xsi:type="dcterms:W3CDTF">2024-04-22T17:07:04Z</dcterms:created>
  <dcterms:modified xsi:type="dcterms:W3CDTF">2024-04-22T17:07:04Z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